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2A" w:rsidRPr="00140011" w:rsidRDefault="0023302A" w:rsidP="0023302A">
      <w:pPr>
        <w:spacing w:after="240" w:line="360" w:lineRule="auto"/>
        <w:rPr>
          <w:rFonts w:ascii="Helvetica" w:eastAsia="Times New Roman" w:hAnsi="Helvetica" w:cs="Times New Roman"/>
          <w:b/>
          <w:bCs/>
          <w:color w:val="1B1B1B"/>
          <w:sz w:val="36"/>
          <w:szCs w:val="36"/>
          <w:lang w:eastAsia="nb-NO"/>
        </w:rPr>
      </w:pPr>
      <w:r w:rsidRPr="00140011">
        <w:rPr>
          <w:rFonts w:ascii="Helvetica" w:eastAsia="Times New Roman" w:hAnsi="Helvetica" w:cs="Times New Roman"/>
          <w:b/>
          <w:bCs/>
          <w:color w:val="1B1B1B"/>
          <w:sz w:val="36"/>
          <w:szCs w:val="36"/>
          <w:lang w:eastAsia="nb-NO"/>
        </w:rPr>
        <w:t>Årskort i SLM og Medlemskap DSSV</w:t>
      </w:r>
    </w:p>
    <w:p w:rsidR="0023302A" w:rsidRPr="00140011" w:rsidRDefault="0023302A" w:rsidP="0023302A">
      <w:pPr>
        <w:spacing w:after="160" w:line="259" w:lineRule="auto"/>
        <w:ind w:right="0"/>
        <w:rPr>
          <w:sz w:val="24"/>
          <w:szCs w:val="24"/>
        </w:rPr>
      </w:pPr>
      <w:r w:rsidRPr="00140011">
        <w:rPr>
          <w:sz w:val="24"/>
          <w:szCs w:val="24"/>
        </w:rPr>
        <w:t xml:space="preserve">Fra 1. januar 2019 markedsføres et nytt årskort som gir adgang alle dager hele året til alle museene innenfor Stiftelsen </w:t>
      </w:r>
      <w:proofErr w:type="spellStart"/>
      <w:r w:rsidRPr="00140011">
        <w:rPr>
          <w:sz w:val="24"/>
          <w:szCs w:val="24"/>
        </w:rPr>
        <w:t>Lhmr</w:t>
      </w:r>
      <w:proofErr w:type="spellEnd"/>
      <w:r w:rsidRPr="00140011">
        <w:rPr>
          <w:sz w:val="24"/>
          <w:szCs w:val="24"/>
        </w:rPr>
        <w:t xml:space="preserve"> Museum (Maihaugen, Kunstmuseet, Bjerkebæk, Aulestad, Norges Olympiske Museum og Postmuseet). Den tidligere ordning med eget årskort for Lillehammer Kunstmuseum er avviklet.</w:t>
      </w:r>
    </w:p>
    <w:p w:rsidR="0023302A" w:rsidRPr="00140011" w:rsidRDefault="0023302A" w:rsidP="0023302A">
      <w:pPr>
        <w:spacing w:after="160" w:line="259" w:lineRule="auto"/>
        <w:ind w:right="0"/>
        <w:rPr>
          <w:sz w:val="24"/>
          <w:szCs w:val="24"/>
        </w:rPr>
      </w:pPr>
      <w:r w:rsidRPr="00140011">
        <w:rPr>
          <w:sz w:val="24"/>
          <w:szCs w:val="24"/>
        </w:rPr>
        <w:t>Dette er for året 2019 ikke samordnet med medlemskapet i DSSV (Venneforeningen på Maihaugen). Vi vil arbeide for at dette blir bedret neste år, da vil vi i så fall komme ut med detaljert informasjon om ny ordning.</w:t>
      </w:r>
    </w:p>
    <w:p w:rsidR="0023302A" w:rsidRPr="00140011" w:rsidRDefault="0023302A" w:rsidP="0023302A">
      <w:pPr>
        <w:spacing w:after="160" w:line="259" w:lineRule="auto"/>
        <w:ind w:right="0"/>
        <w:rPr>
          <w:sz w:val="24"/>
          <w:szCs w:val="24"/>
        </w:rPr>
      </w:pPr>
      <w:r w:rsidRPr="00140011">
        <w:rPr>
          <w:sz w:val="24"/>
          <w:szCs w:val="24"/>
        </w:rPr>
        <w:t xml:space="preserve">For 2019 er det da slik at dersom du ønsker å besøke flere av museene flere ganger, så vil det «lønne seg» å kjøpe det nye årskortet. Å opprettholde medlemskap i DSSV vil i så fall være «dyrt», fordi den adgangen dette gir til Maihaugen allerede er dekket av Årskortet.  Men da vil du altså ikke motta Maihaugbladet og heller ikke kunne benytte deg av </w:t>
      </w:r>
      <w:proofErr w:type="spellStart"/>
      <w:r w:rsidRPr="00140011">
        <w:rPr>
          <w:sz w:val="24"/>
          <w:szCs w:val="24"/>
        </w:rPr>
        <w:t>DSSVs</w:t>
      </w:r>
      <w:proofErr w:type="spellEnd"/>
      <w:r w:rsidRPr="00140011">
        <w:rPr>
          <w:sz w:val="24"/>
          <w:szCs w:val="24"/>
        </w:rPr>
        <w:t xml:space="preserve"> medlemsfordeler og tilbud.</w:t>
      </w:r>
    </w:p>
    <w:p w:rsidR="0023302A" w:rsidRPr="00140011" w:rsidRDefault="0023302A" w:rsidP="0023302A">
      <w:pPr>
        <w:spacing w:after="160" w:line="259" w:lineRule="auto"/>
        <w:ind w:right="0"/>
        <w:rPr>
          <w:sz w:val="24"/>
          <w:szCs w:val="24"/>
        </w:rPr>
      </w:pPr>
      <w:r w:rsidRPr="00140011">
        <w:rPr>
          <w:sz w:val="24"/>
          <w:szCs w:val="24"/>
        </w:rPr>
        <w:t xml:space="preserve">Dersom du imidlertid planlegger BARE å benytte Maihaugen, og kun ha sporadisk (e) besøk til de andre museene, vil det stort sett «lønne seg» kun å opprettholde medlemskapet i DSSV heller enn årskort. Alle prisene og fordelene med de ulike alternativer finner du </w:t>
      </w:r>
      <w:proofErr w:type="gramStart"/>
      <w:r w:rsidRPr="00140011">
        <w:rPr>
          <w:sz w:val="24"/>
          <w:szCs w:val="24"/>
        </w:rPr>
        <w:t>i  tabellen</w:t>
      </w:r>
      <w:proofErr w:type="gramEnd"/>
      <w:r w:rsidRPr="00140011">
        <w:rPr>
          <w:sz w:val="24"/>
          <w:szCs w:val="24"/>
        </w:rPr>
        <w:t xml:space="preserve"> under , slik at du/dere selv kan gjøre valg basert på dette.</w:t>
      </w:r>
    </w:p>
    <w:p w:rsidR="0023302A" w:rsidRPr="00140011" w:rsidRDefault="0023302A" w:rsidP="0023302A">
      <w:pPr>
        <w:spacing w:after="160" w:line="259" w:lineRule="auto"/>
        <w:ind w:right="0"/>
      </w:pPr>
    </w:p>
    <w:tbl>
      <w:tblPr>
        <w:tblStyle w:val="Tabellrutenett"/>
        <w:tblW w:w="9483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4663"/>
      </w:tblGrid>
      <w:tr w:rsidR="0023302A" w:rsidRPr="00140011" w:rsidTr="00BC0851">
        <w:trPr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02A" w:rsidRPr="00140011" w:rsidRDefault="0023302A" w:rsidP="00BC0851">
            <w:pPr>
              <w:rPr>
                <w:b/>
                <w:sz w:val="28"/>
                <w:szCs w:val="28"/>
              </w:rPr>
            </w:pPr>
            <w:r w:rsidRPr="00140011">
              <w:rPr>
                <w:b/>
                <w:sz w:val="28"/>
                <w:szCs w:val="28"/>
              </w:rPr>
              <w:t xml:space="preserve">Kundekategori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02A" w:rsidRPr="00140011" w:rsidRDefault="0023302A" w:rsidP="00BC0851">
            <w:pPr>
              <w:jc w:val="center"/>
              <w:rPr>
                <w:b/>
                <w:sz w:val="28"/>
                <w:szCs w:val="28"/>
              </w:rPr>
            </w:pPr>
            <w:r w:rsidRPr="00140011">
              <w:rPr>
                <w:b/>
                <w:sz w:val="28"/>
                <w:szCs w:val="28"/>
              </w:rPr>
              <w:t>Årskort SLM</w:t>
            </w:r>
          </w:p>
        </w:tc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02A" w:rsidRPr="00140011" w:rsidRDefault="0023302A" w:rsidP="00BC0851">
            <w:pPr>
              <w:jc w:val="center"/>
              <w:rPr>
                <w:b/>
                <w:sz w:val="28"/>
                <w:szCs w:val="28"/>
              </w:rPr>
            </w:pPr>
            <w:r w:rsidRPr="00140011">
              <w:rPr>
                <w:b/>
                <w:sz w:val="28"/>
                <w:szCs w:val="28"/>
              </w:rPr>
              <w:t>Medlemskap DSSV</w:t>
            </w:r>
          </w:p>
          <w:p w:rsidR="0023302A" w:rsidRPr="00140011" w:rsidRDefault="0023302A" w:rsidP="00BC0851">
            <w:pPr>
              <w:jc w:val="center"/>
              <w:rPr>
                <w:b/>
                <w:sz w:val="28"/>
                <w:szCs w:val="28"/>
              </w:rPr>
            </w:pPr>
            <w:r w:rsidRPr="00140011">
              <w:rPr>
                <w:b/>
                <w:sz w:val="28"/>
                <w:szCs w:val="28"/>
              </w:rPr>
              <w:t>Pris pr år</w:t>
            </w:r>
          </w:p>
        </w:tc>
      </w:tr>
      <w:tr w:rsidR="0023302A" w:rsidRPr="00140011" w:rsidTr="00BC0851">
        <w:trPr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23302A" w:rsidRPr="00140011" w:rsidRDefault="0023302A" w:rsidP="00BC0851">
            <w:pPr>
              <w:rPr>
                <w:b/>
                <w:sz w:val="24"/>
                <w:szCs w:val="24"/>
              </w:rPr>
            </w:pPr>
            <w:r w:rsidRPr="00140011">
              <w:rPr>
                <w:b/>
                <w:sz w:val="24"/>
                <w:szCs w:val="24"/>
              </w:rPr>
              <w:t xml:space="preserve">Enslig </w:t>
            </w:r>
            <w:r w:rsidRPr="00140011">
              <w:rPr>
                <w:sz w:val="24"/>
                <w:szCs w:val="24"/>
              </w:rPr>
              <w:t>voksen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3302A" w:rsidRPr="00140011" w:rsidRDefault="0023302A" w:rsidP="00BC0851">
            <w:pPr>
              <w:jc w:val="center"/>
              <w:rPr>
                <w:sz w:val="28"/>
                <w:szCs w:val="28"/>
              </w:rPr>
            </w:pPr>
            <w:r w:rsidRPr="00140011">
              <w:rPr>
                <w:sz w:val="28"/>
                <w:szCs w:val="28"/>
              </w:rPr>
              <w:t>750</w:t>
            </w:r>
          </w:p>
        </w:tc>
        <w:tc>
          <w:tcPr>
            <w:tcW w:w="46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302A" w:rsidRPr="00140011" w:rsidRDefault="0023302A" w:rsidP="00BC0851">
            <w:pPr>
              <w:jc w:val="center"/>
              <w:rPr>
                <w:sz w:val="28"/>
                <w:szCs w:val="28"/>
              </w:rPr>
            </w:pPr>
            <w:r w:rsidRPr="00140011">
              <w:rPr>
                <w:sz w:val="28"/>
                <w:szCs w:val="28"/>
              </w:rPr>
              <w:t>450</w:t>
            </w:r>
          </w:p>
        </w:tc>
      </w:tr>
      <w:tr w:rsidR="0023302A" w:rsidRPr="00140011" w:rsidTr="00BC0851">
        <w:trPr>
          <w:jc w:val="center"/>
        </w:trPr>
        <w:tc>
          <w:tcPr>
            <w:tcW w:w="2694" w:type="dxa"/>
            <w:tcBorders>
              <w:left w:val="single" w:sz="12" w:space="0" w:color="auto"/>
            </w:tcBorders>
          </w:tcPr>
          <w:p w:rsidR="0023302A" w:rsidRPr="00140011" w:rsidRDefault="0023302A" w:rsidP="00BC0851">
            <w:pPr>
              <w:rPr>
                <w:b/>
                <w:sz w:val="24"/>
                <w:szCs w:val="24"/>
              </w:rPr>
            </w:pPr>
            <w:r w:rsidRPr="00140011">
              <w:rPr>
                <w:b/>
                <w:sz w:val="24"/>
                <w:szCs w:val="24"/>
              </w:rPr>
              <w:t xml:space="preserve">Enslig </w:t>
            </w:r>
            <w:r w:rsidRPr="00140011">
              <w:rPr>
                <w:sz w:val="24"/>
                <w:szCs w:val="24"/>
              </w:rPr>
              <w:t>student/honnør</w:t>
            </w:r>
          </w:p>
        </w:tc>
        <w:tc>
          <w:tcPr>
            <w:tcW w:w="2126" w:type="dxa"/>
          </w:tcPr>
          <w:p w:rsidR="0023302A" w:rsidRPr="00140011" w:rsidRDefault="0023302A" w:rsidP="00BC0851">
            <w:pPr>
              <w:jc w:val="center"/>
              <w:rPr>
                <w:sz w:val="28"/>
                <w:szCs w:val="28"/>
              </w:rPr>
            </w:pPr>
            <w:r w:rsidRPr="00140011">
              <w:rPr>
                <w:sz w:val="28"/>
                <w:szCs w:val="28"/>
              </w:rPr>
              <w:t>550</w:t>
            </w:r>
          </w:p>
        </w:tc>
        <w:tc>
          <w:tcPr>
            <w:tcW w:w="4663" w:type="dxa"/>
            <w:vMerge/>
            <w:tcBorders>
              <w:right w:val="single" w:sz="12" w:space="0" w:color="auto"/>
            </w:tcBorders>
          </w:tcPr>
          <w:p w:rsidR="0023302A" w:rsidRPr="00140011" w:rsidRDefault="0023302A" w:rsidP="00BC0851">
            <w:pPr>
              <w:jc w:val="center"/>
              <w:rPr>
                <w:sz w:val="28"/>
                <w:szCs w:val="28"/>
              </w:rPr>
            </w:pPr>
          </w:p>
        </w:tc>
      </w:tr>
      <w:tr w:rsidR="0023302A" w:rsidRPr="00140011" w:rsidTr="00BC0851">
        <w:trPr>
          <w:jc w:val="center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:rsidR="0023302A" w:rsidRPr="00140011" w:rsidRDefault="0023302A" w:rsidP="00BC0851">
            <w:pPr>
              <w:rPr>
                <w:b/>
                <w:sz w:val="24"/>
                <w:szCs w:val="24"/>
              </w:rPr>
            </w:pPr>
            <w:r w:rsidRPr="00140011">
              <w:rPr>
                <w:b/>
                <w:sz w:val="24"/>
                <w:szCs w:val="24"/>
              </w:rPr>
              <w:t>Familie</w:t>
            </w:r>
          </w:p>
          <w:p w:rsidR="0023302A" w:rsidRPr="00140011" w:rsidRDefault="0023302A" w:rsidP="00BC0851">
            <w:pPr>
              <w:rPr>
                <w:sz w:val="24"/>
                <w:szCs w:val="24"/>
              </w:rPr>
            </w:pPr>
            <w:r w:rsidRPr="00140011">
              <w:rPr>
                <w:sz w:val="24"/>
                <w:szCs w:val="24"/>
              </w:rPr>
              <w:t>Par m/barn og barne-barn under 16 år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3302A" w:rsidRPr="00140011" w:rsidRDefault="0023302A" w:rsidP="00BC0851">
            <w:pPr>
              <w:jc w:val="center"/>
              <w:rPr>
                <w:sz w:val="28"/>
                <w:szCs w:val="28"/>
              </w:rPr>
            </w:pPr>
            <w:r w:rsidRPr="00140011">
              <w:rPr>
                <w:sz w:val="28"/>
                <w:szCs w:val="28"/>
              </w:rPr>
              <w:t>1500</w:t>
            </w:r>
          </w:p>
        </w:tc>
        <w:tc>
          <w:tcPr>
            <w:tcW w:w="4663" w:type="dxa"/>
            <w:tcBorders>
              <w:bottom w:val="single" w:sz="12" w:space="0" w:color="auto"/>
              <w:right w:val="single" w:sz="12" w:space="0" w:color="auto"/>
            </w:tcBorders>
          </w:tcPr>
          <w:p w:rsidR="0023302A" w:rsidRPr="00140011" w:rsidRDefault="0023302A" w:rsidP="00BC0851">
            <w:pPr>
              <w:jc w:val="center"/>
              <w:rPr>
                <w:sz w:val="28"/>
                <w:szCs w:val="28"/>
              </w:rPr>
            </w:pPr>
            <w:r w:rsidRPr="00140011">
              <w:rPr>
                <w:sz w:val="28"/>
                <w:szCs w:val="28"/>
              </w:rPr>
              <w:t>750</w:t>
            </w:r>
          </w:p>
        </w:tc>
      </w:tr>
      <w:tr w:rsidR="0023302A" w:rsidRPr="00140011" w:rsidTr="00BC0851">
        <w:trPr>
          <w:jc w:val="center"/>
        </w:trPr>
        <w:tc>
          <w:tcPr>
            <w:tcW w:w="2694" w:type="dxa"/>
            <w:tcBorders>
              <w:top w:val="single" w:sz="12" w:space="0" w:color="auto"/>
            </w:tcBorders>
          </w:tcPr>
          <w:p w:rsidR="0023302A" w:rsidRPr="00140011" w:rsidRDefault="0023302A" w:rsidP="00BC0851">
            <w:pPr>
              <w:rPr>
                <w:b/>
                <w:sz w:val="24"/>
                <w:szCs w:val="24"/>
              </w:rPr>
            </w:pPr>
            <w:r w:rsidRPr="00140011">
              <w:rPr>
                <w:b/>
                <w:sz w:val="24"/>
                <w:szCs w:val="24"/>
              </w:rPr>
              <w:t>Hva gir dette?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3302A" w:rsidRPr="00140011" w:rsidRDefault="0023302A" w:rsidP="0023302A">
            <w:pPr>
              <w:numPr>
                <w:ilvl w:val="0"/>
                <w:numId w:val="1"/>
              </w:numPr>
              <w:spacing w:after="0"/>
              <w:ind w:left="333" w:right="0" w:hanging="283"/>
              <w:contextualSpacing/>
            </w:pPr>
            <w:r w:rsidRPr="00140011">
              <w:t xml:space="preserve">Inngang alle 6 </w:t>
            </w:r>
          </w:p>
          <w:p w:rsidR="0023302A" w:rsidRPr="00140011" w:rsidRDefault="0023302A" w:rsidP="00BC0851">
            <w:pPr>
              <w:ind w:left="333"/>
            </w:pPr>
            <w:r w:rsidRPr="00140011">
              <w:t>SLM museer:</w:t>
            </w:r>
          </w:p>
          <w:p w:rsidR="0023302A" w:rsidRPr="00140011" w:rsidRDefault="0023302A" w:rsidP="0023302A">
            <w:pPr>
              <w:numPr>
                <w:ilvl w:val="1"/>
                <w:numId w:val="1"/>
              </w:numPr>
              <w:spacing w:after="0"/>
              <w:ind w:left="647" w:right="0" w:hanging="284"/>
              <w:contextualSpacing/>
            </w:pPr>
            <w:r w:rsidRPr="00140011">
              <w:t>Maihaugen</w:t>
            </w:r>
          </w:p>
          <w:p w:rsidR="0023302A" w:rsidRPr="00140011" w:rsidRDefault="0023302A" w:rsidP="0023302A">
            <w:pPr>
              <w:numPr>
                <w:ilvl w:val="1"/>
                <w:numId w:val="1"/>
              </w:numPr>
              <w:spacing w:after="0"/>
              <w:ind w:left="647" w:right="0" w:hanging="284"/>
              <w:contextualSpacing/>
            </w:pPr>
            <w:r w:rsidRPr="00140011">
              <w:t>Kunstmuseet</w:t>
            </w:r>
          </w:p>
          <w:p w:rsidR="0023302A" w:rsidRPr="00140011" w:rsidRDefault="0023302A" w:rsidP="0023302A">
            <w:pPr>
              <w:numPr>
                <w:ilvl w:val="1"/>
                <w:numId w:val="1"/>
              </w:numPr>
              <w:spacing w:after="0"/>
              <w:ind w:left="647" w:right="0" w:hanging="284"/>
              <w:contextualSpacing/>
            </w:pPr>
            <w:r w:rsidRPr="00140011">
              <w:t>Bjerkebæk</w:t>
            </w:r>
          </w:p>
          <w:p w:rsidR="0023302A" w:rsidRPr="00140011" w:rsidRDefault="0023302A" w:rsidP="0023302A">
            <w:pPr>
              <w:numPr>
                <w:ilvl w:val="1"/>
                <w:numId w:val="1"/>
              </w:numPr>
              <w:spacing w:after="0"/>
              <w:ind w:left="647" w:right="0" w:hanging="284"/>
              <w:contextualSpacing/>
            </w:pPr>
            <w:r w:rsidRPr="00140011">
              <w:t>Aulestad</w:t>
            </w:r>
          </w:p>
          <w:p w:rsidR="0023302A" w:rsidRPr="00140011" w:rsidRDefault="0023302A" w:rsidP="0023302A">
            <w:pPr>
              <w:numPr>
                <w:ilvl w:val="1"/>
                <w:numId w:val="1"/>
              </w:numPr>
              <w:spacing w:after="0"/>
              <w:ind w:left="647" w:right="0" w:hanging="284"/>
              <w:contextualSpacing/>
            </w:pPr>
            <w:r w:rsidRPr="00140011">
              <w:t>NOM</w:t>
            </w:r>
          </w:p>
          <w:p w:rsidR="0023302A" w:rsidRPr="00140011" w:rsidRDefault="0023302A" w:rsidP="0023302A">
            <w:pPr>
              <w:numPr>
                <w:ilvl w:val="1"/>
                <w:numId w:val="1"/>
              </w:numPr>
              <w:spacing w:after="0"/>
              <w:ind w:left="647" w:right="0" w:hanging="284"/>
              <w:contextualSpacing/>
            </w:pPr>
            <w:r w:rsidRPr="00140011">
              <w:t>Postmuseet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23302A" w:rsidRPr="00140011" w:rsidRDefault="0023302A" w:rsidP="0023302A">
            <w:pPr>
              <w:numPr>
                <w:ilvl w:val="0"/>
                <w:numId w:val="1"/>
              </w:numPr>
              <w:spacing w:after="0"/>
              <w:ind w:left="333" w:right="0" w:hanging="283"/>
              <w:contextualSpacing/>
            </w:pPr>
            <w:r w:rsidRPr="00140011">
              <w:t>Inngang Maihaugen</w:t>
            </w:r>
          </w:p>
          <w:p w:rsidR="0023302A" w:rsidRPr="00140011" w:rsidRDefault="0023302A" w:rsidP="0023302A">
            <w:pPr>
              <w:numPr>
                <w:ilvl w:val="0"/>
                <w:numId w:val="1"/>
              </w:numPr>
              <w:spacing w:after="0"/>
              <w:ind w:left="333" w:right="0" w:hanging="283"/>
              <w:contextualSpacing/>
            </w:pPr>
            <w:r w:rsidRPr="00140011">
              <w:t xml:space="preserve">Maihaugbladet 3 </w:t>
            </w:r>
            <w:proofErr w:type="spellStart"/>
            <w:r w:rsidRPr="00140011">
              <w:t>gngr</w:t>
            </w:r>
            <w:proofErr w:type="spellEnd"/>
            <w:r w:rsidRPr="00140011">
              <w:t>/år</w:t>
            </w:r>
          </w:p>
          <w:p w:rsidR="0023302A" w:rsidRPr="00140011" w:rsidRDefault="0023302A" w:rsidP="0023302A">
            <w:pPr>
              <w:numPr>
                <w:ilvl w:val="0"/>
                <w:numId w:val="1"/>
              </w:numPr>
              <w:spacing w:after="0"/>
              <w:ind w:left="333" w:right="0" w:hanging="283"/>
              <w:contextualSpacing/>
            </w:pPr>
            <w:r w:rsidRPr="00140011">
              <w:t>Tilbud turer og spesialomvisninger</w:t>
            </w:r>
          </w:p>
          <w:p w:rsidR="0023302A" w:rsidRPr="00140011" w:rsidRDefault="0023302A" w:rsidP="0023302A">
            <w:pPr>
              <w:numPr>
                <w:ilvl w:val="0"/>
                <w:numId w:val="1"/>
              </w:numPr>
              <w:spacing w:after="0"/>
              <w:ind w:left="333" w:right="0" w:hanging="283"/>
              <w:contextualSpacing/>
            </w:pPr>
            <w:r w:rsidRPr="00140011">
              <w:t>10% rabatt Maihaugbutikken</w:t>
            </w:r>
          </w:p>
          <w:p w:rsidR="0023302A" w:rsidRPr="00140011" w:rsidRDefault="0023302A" w:rsidP="0023302A">
            <w:pPr>
              <w:numPr>
                <w:ilvl w:val="0"/>
                <w:numId w:val="1"/>
              </w:numPr>
              <w:spacing w:after="0"/>
              <w:ind w:left="333" w:right="0" w:hanging="283"/>
              <w:contextualSpacing/>
            </w:pPr>
            <w:r w:rsidRPr="00140011">
              <w:t>Ta med en gjest på Maihaugen i vintersesongen</w:t>
            </w:r>
          </w:p>
          <w:p w:rsidR="0023302A" w:rsidRPr="00140011" w:rsidRDefault="0023302A" w:rsidP="0023302A">
            <w:pPr>
              <w:numPr>
                <w:ilvl w:val="0"/>
                <w:numId w:val="1"/>
              </w:numPr>
              <w:spacing w:after="0"/>
              <w:ind w:left="333" w:right="0" w:hanging="283"/>
              <w:contextualSpacing/>
              <w:rPr>
                <w:rFonts w:cstheme="minorHAnsi"/>
              </w:rPr>
            </w:pPr>
            <w:r w:rsidRPr="00140011">
              <w:rPr>
                <w:rFonts w:cstheme="minorHAnsi"/>
              </w:rPr>
              <w:t>Gratis adgang for 1 person til</w:t>
            </w:r>
          </w:p>
          <w:p w:rsidR="0023302A" w:rsidRPr="00140011" w:rsidRDefault="0023302A" w:rsidP="002330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0"/>
              <w:contextualSpacing/>
              <w:rPr>
                <w:rFonts w:cstheme="minorHAnsi"/>
              </w:rPr>
            </w:pPr>
            <w:r w:rsidRPr="00140011">
              <w:rPr>
                <w:rFonts w:cstheme="minorHAnsi"/>
              </w:rPr>
              <w:t xml:space="preserve">Norsk Folkemuseum, Oslo. </w:t>
            </w:r>
          </w:p>
          <w:p w:rsidR="0023302A" w:rsidRPr="00140011" w:rsidRDefault="0023302A" w:rsidP="002330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0"/>
              <w:contextualSpacing/>
              <w:rPr>
                <w:rFonts w:cstheme="minorHAnsi"/>
              </w:rPr>
            </w:pPr>
            <w:r w:rsidRPr="00140011">
              <w:rPr>
                <w:rFonts w:cstheme="minorHAnsi"/>
              </w:rPr>
              <w:t>Sverresborg/ Trøndelag Folkemuseum, Trondheim</w:t>
            </w:r>
          </w:p>
          <w:p w:rsidR="0023302A" w:rsidRPr="00140011" w:rsidRDefault="0023302A" w:rsidP="002330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0"/>
              <w:contextualSpacing/>
              <w:rPr>
                <w:rFonts w:cstheme="minorHAnsi"/>
              </w:rPr>
            </w:pPr>
            <w:proofErr w:type="spellStart"/>
            <w:r w:rsidRPr="00140011">
              <w:rPr>
                <w:rFonts w:cstheme="minorHAnsi"/>
              </w:rPr>
              <w:t>Jamtli</w:t>
            </w:r>
            <w:proofErr w:type="spellEnd"/>
            <w:r w:rsidRPr="00140011">
              <w:rPr>
                <w:rFonts w:cstheme="minorHAnsi"/>
              </w:rPr>
              <w:t xml:space="preserve">/ </w:t>
            </w:r>
            <w:proofErr w:type="spellStart"/>
            <w:r w:rsidRPr="00140011">
              <w:rPr>
                <w:rFonts w:cstheme="minorHAnsi"/>
              </w:rPr>
              <w:t>Jamtlis</w:t>
            </w:r>
            <w:proofErr w:type="spellEnd"/>
            <w:r w:rsidRPr="00140011">
              <w:rPr>
                <w:rFonts w:cstheme="minorHAnsi"/>
              </w:rPr>
              <w:t xml:space="preserve"> </w:t>
            </w:r>
            <w:proofErr w:type="spellStart"/>
            <w:r w:rsidRPr="00140011">
              <w:rPr>
                <w:rFonts w:cstheme="minorHAnsi"/>
              </w:rPr>
              <w:t>Gynnare</w:t>
            </w:r>
            <w:proofErr w:type="spellEnd"/>
            <w:r w:rsidRPr="00140011">
              <w:rPr>
                <w:rFonts w:cstheme="minorHAnsi"/>
              </w:rPr>
              <w:t xml:space="preserve">. </w:t>
            </w:r>
            <w:proofErr w:type="spellStart"/>
            <w:r w:rsidRPr="00140011">
              <w:rPr>
                <w:rFonts w:cstheme="minorHAnsi"/>
              </w:rPr>
              <w:t>Østersund</w:t>
            </w:r>
            <w:proofErr w:type="spellEnd"/>
            <w:r w:rsidRPr="00140011">
              <w:rPr>
                <w:rFonts w:cstheme="minorHAnsi"/>
              </w:rPr>
              <w:t xml:space="preserve">, </w:t>
            </w:r>
            <w:proofErr w:type="spellStart"/>
            <w:proofErr w:type="gramStart"/>
            <w:r w:rsidRPr="00140011">
              <w:rPr>
                <w:rFonts w:cstheme="minorHAnsi"/>
              </w:rPr>
              <w:t>Sverlge</w:t>
            </w:r>
            <w:proofErr w:type="spellEnd"/>
            <w:r w:rsidRPr="00140011">
              <w:rPr>
                <w:rFonts w:cstheme="minorHAnsi"/>
              </w:rPr>
              <w:t xml:space="preserve"> .</w:t>
            </w:r>
            <w:proofErr w:type="gramEnd"/>
            <w:r w:rsidRPr="00140011">
              <w:rPr>
                <w:rFonts w:cstheme="minorHAnsi"/>
              </w:rPr>
              <w:t xml:space="preserve"> </w:t>
            </w:r>
          </w:p>
          <w:p w:rsidR="0023302A" w:rsidRPr="00140011" w:rsidRDefault="0023302A" w:rsidP="002330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0"/>
              <w:contextualSpacing/>
              <w:rPr>
                <w:rFonts w:cstheme="minorHAnsi"/>
              </w:rPr>
            </w:pPr>
            <w:r w:rsidRPr="00140011">
              <w:rPr>
                <w:rFonts w:cstheme="minorHAnsi"/>
              </w:rPr>
              <w:t xml:space="preserve">Kulturen. Lund, </w:t>
            </w:r>
            <w:proofErr w:type="gramStart"/>
            <w:r w:rsidRPr="00140011">
              <w:rPr>
                <w:rFonts w:cstheme="minorHAnsi"/>
              </w:rPr>
              <w:t>Sverige .</w:t>
            </w:r>
            <w:proofErr w:type="gramEnd"/>
            <w:r w:rsidRPr="00140011">
              <w:rPr>
                <w:rFonts w:cstheme="minorHAnsi"/>
              </w:rPr>
              <w:t xml:space="preserve"> </w:t>
            </w:r>
          </w:p>
          <w:p w:rsidR="0023302A" w:rsidRPr="00140011" w:rsidRDefault="0023302A" w:rsidP="002330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0"/>
              <w:contextualSpacing/>
              <w:rPr>
                <w:rFonts w:cstheme="minorHAnsi"/>
              </w:rPr>
            </w:pPr>
            <w:r w:rsidRPr="00140011">
              <w:rPr>
                <w:rFonts w:cstheme="minorHAnsi"/>
              </w:rPr>
              <w:t xml:space="preserve">Gamle </w:t>
            </w:r>
            <w:proofErr w:type="spellStart"/>
            <w:r w:rsidRPr="00140011">
              <w:rPr>
                <w:rFonts w:cstheme="minorHAnsi"/>
              </w:rPr>
              <w:t>Linkoping</w:t>
            </w:r>
            <w:proofErr w:type="spellEnd"/>
            <w:r w:rsidRPr="00140011">
              <w:rPr>
                <w:rFonts w:cstheme="minorHAnsi"/>
              </w:rPr>
              <w:t xml:space="preserve">, </w:t>
            </w:r>
            <w:proofErr w:type="spellStart"/>
            <w:proofErr w:type="gramStart"/>
            <w:r w:rsidRPr="00140011">
              <w:rPr>
                <w:rFonts w:cstheme="minorHAnsi"/>
              </w:rPr>
              <w:t>Linkøping,Sverige</w:t>
            </w:r>
            <w:proofErr w:type="spellEnd"/>
            <w:proofErr w:type="gramEnd"/>
            <w:r w:rsidRPr="00140011">
              <w:rPr>
                <w:rFonts w:cstheme="minorHAnsi"/>
              </w:rPr>
              <w:t xml:space="preserve"> . </w:t>
            </w:r>
          </w:p>
          <w:p w:rsidR="0023302A" w:rsidRPr="00140011" w:rsidRDefault="0023302A" w:rsidP="002330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0"/>
              <w:contextualSpacing/>
              <w:rPr>
                <w:rFonts w:cstheme="minorHAnsi"/>
              </w:rPr>
            </w:pPr>
            <w:r w:rsidRPr="00140011">
              <w:rPr>
                <w:rFonts w:cstheme="minorHAnsi"/>
              </w:rPr>
              <w:lastRenderedPageBreak/>
              <w:t>Skansen/ Nordiska Museet, Stockholm</w:t>
            </w:r>
          </w:p>
          <w:p w:rsidR="0023302A" w:rsidRPr="00140011" w:rsidRDefault="0023302A" w:rsidP="002330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0"/>
              <w:contextualSpacing/>
              <w:rPr>
                <w:rFonts w:cstheme="minorHAnsi"/>
              </w:rPr>
            </w:pPr>
            <w:r w:rsidRPr="00140011">
              <w:rPr>
                <w:rFonts w:cstheme="minorHAnsi"/>
              </w:rPr>
              <w:t xml:space="preserve">Frilandsmuseet-Det gamle </w:t>
            </w:r>
            <w:proofErr w:type="gramStart"/>
            <w:r w:rsidRPr="00140011">
              <w:rPr>
                <w:rFonts w:cstheme="minorHAnsi"/>
              </w:rPr>
              <w:t xml:space="preserve">Danmark,  </w:t>
            </w:r>
            <w:proofErr w:type="spellStart"/>
            <w:r w:rsidRPr="00140011">
              <w:rPr>
                <w:rFonts w:cstheme="minorHAnsi"/>
              </w:rPr>
              <w:t>Kgs</w:t>
            </w:r>
            <w:proofErr w:type="spellEnd"/>
            <w:proofErr w:type="gramEnd"/>
            <w:r w:rsidRPr="00140011">
              <w:rPr>
                <w:rFonts w:cstheme="minorHAnsi"/>
              </w:rPr>
              <w:t>. Lyngby, Danmark</w:t>
            </w:r>
          </w:p>
          <w:p w:rsidR="0023302A" w:rsidRPr="00140011" w:rsidRDefault="0023302A" w:rsidP="002330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0"/>
              <w:contextualSpacing/>
              <w:rPr>
                <w:rFonts w:cstheme="minorHAnsi"/>
              </w:rPr>
            </w:pPr>
            <w:r w:rsidRPr="00140011">
              <w:rPr>
                <w:rFonts w:cstheme="minorHAnsi"/>
              </w:rPr>
              <w:t>Den Gamle By, Århus, Danmark</w:t>
            </w:r>
          </w:p>
        </w:tc>
      </w:tr>
    </w:tbl>
    <w:p w:rsidR="0023302A" w:rsidRPr="00140011" w:rsidRDefault="0023302A" w:rsidP="0023302A">
      <w:pPr>
        <w:spacing w:after="160" w:line="259" w:lineRule="auto"/>
        <w:ind w:right="0"/>
        <w:rPr>
          <w:sz w:val="24"/>
          <w:szCs w:val="24"/>
        </w:rPr>
      </w:pPr>
    </w:p>
    <w:p w:rsidR="0023302A" w:rsidRPr="00140011" w:rsidRDefault="0023302A" w:rsidP="0023302A">
      <w:pPr>
        <w:spacing w:after="160" w:line="259" w:lineRule="auto"/>
        <w:ind w:right="0"/>
        <w:rPr>
          <w:b/>
          <w:sz w:val="32"/>
          <w:szCs w:val="32"/>
        </w:rPr>
      </w:pPr>
      <w:r w:rsidRPr="00140011">
        <w:rPr>
          <w:b/>
          <w:sz w:val="32"/>
          <w:szCs w:val="32"/>
        </w:rPr>
        <w:t>Hjelp til medlemsregisteret</w:t>
      </w:r>
    </w:p>
    <w:p w:rsidR="0023302A" w:rsidRPr="00140011" w:rsidRDefault="0023302A" w:rsidP="0023302A">
      <w:pPr>
        <w:spacing w:after="160" w:line="259" w:lineRule="auto"/>
        <w:ind w:right="0"/>
        <w:rPr>
          <w:sz w:val="24"/>
          <w:szCs w:val="24"/>
        </w:rPr>
      </w:pPr>
      <w:r w:rsidRPr="00140011">
        <w:rPr>
          <w:sz w:val="24"/>
          <w:szCs w:val="24"/>
        </w:rPr>
        <w:t xml:space="preserve">Dersom du har spørsmål eller ønsker nærmere avklaring av ting du lurer på, ta kontakt med </w:t>
      </w:r>
    </w:p>
    <w:p w:rsidR="0023302A" w:rsidRPr="00140011" w:rsidRDefault="0023302A" w:rsidP="0023302A">
      <w:pPr>
        <w:spacing w:after="160" w:line="259" w:lineRule="auto"/>
        <w:ind w:right="0"/>
        <w:rPr>
          <w:sz w:val="24"/>
          <w:szCs w:val="24"/>
        </w:rPr>
      </w:pPr>
      <w:r w:rsidRPr="00140011">
        <w:rPr>
          <w:sz w:val="24"/>
          <w:szCs w:val="24"/>
        </w:rPr>
        <w:t xml:space="preserve">E-post: </w:t>
      </w:r>
      <w:hyperlink r:id="rId5" w:history="1">
        <w:r w:rsidRPr="00140011">
          <w:rPr>
            <w:color w:val="0563C1" w:themeColor="hyperlink"/>
            <w:sz w:val="24"/>
            <w:szCs w:val="24"/>
            <w:u w:val="single"/>
          </w:rPr>
          <w:t>venner@maihaugen.no</w:t>
        </w:r>
      </w:hyperlink>
    </w:p>
    <w:p w:rsidR="0023302A" w:rsidRPr="00140011" w:rsidRDefault="0023302A" w:rsidP="0023302A">
      <w:pPr>
        <w:spacing w:after="160" w:line="259" w:lineRule="auto"/>
        <w:ind w:right="0"/>
        <w:rPr>
          <w:sz w:val="24"/>
          <w:szCs w:val="24"/>
        </w:rPr>
      </w:pPr>
      <w:r w:rsidRPr="00140011">
        <w:rPr>
          <w:sz w:val="24"/>
          <w:szCs w:val="24"/>
        </w:rPr>
        <w:t>SMS: 909 80</w:t>
      </w:r>
      <w:r>
        <w:rPr>
          <w:sz w:val="24"/>
          <w:szCs w:val="24"/>
        </w:rPr>
        <w:t> </w:t>
      </w:r>
      <w:r w:rsidRPr="00140011">
        <w:rPr>
          <w:sz w:val="24"/>
          <w:szCs w:val="24"/>
        </w:rPr>
        <w:t>650</w:t>
      </w:r>
    </w:p>
    <w:p w:rsidR="006E6B27" w:rsidRDefault="0023302A">
      <w:bookmarkStart w:id="0" w:name="_GoBack"/>
      <w:bookmarkEnd w:id="0"/>
    </w:p>
    <w:sectPr w:rsidR="006E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65D5"/>
    <w:multiLevelType w:val="hybridMultilevel"/>
    <w:tmpl w:val="F660698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2781F06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D28EA"/>
    <w:multiLevelType w:val="hybridMultilevel"/>
    <w:tmpl w:val="34F05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2A"/>
    <w:rsid w:val="0023302A"/>
    <w:rsid w:val="007E4453"/>
    <w:rsid w:val="00CA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DC793-18A9-4AAC-9AEB-F2AE8EF9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2A"/>
    <w:pPr>
      <w:spacing w:after="120" w:line="240" w:lineRule="auto"/>
      <w:ind w:right="-357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3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ner@maihaug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MuseumsIT AS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Røstad</dc:creator>
  <cp:keywords/>
  <dc:description/>
  <cp:lastModifiedBy>Rannveig Røstad</cp:lastModifiedBy>
  <cp:revision>1</cp:revision>
  <dcterms:created xsi:type="dcterms:W3CDTF">2019-03-07T13:47:00Z</dcterms:created>
  <dcterms:modified xsi:type="dcterms:W3CDTF">2019-03-07T13:47:00Z</dcterms:modified>
</cp:coreProperties>
</file>